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8"/>
        <w:jc w:val="center"/>
        <w:rPr>
          <w:rFonts w:ascii="Century Gothic" w:hAnsi="Century Gothic"/>
          <w:b/>
          <w:b/>
          <w:szCs w:val="24"/>
        </w:rPr>
      </w:pPr>
      <w:r>
        <w:rPr>
          <w:rFonts w:ascii="Century Gothic" w:hAnsi="Century Gothic"/>
          <w:b/>
          <w:szCs w:val="24"/>
        </w:rPr>
      </w:r>
    </w:p>
    <w:p>
      <w:pPr>
        <w:pStyle w:val="Normal"/>
        <w:suppressAutoHyphens w:val="true"/>
        <w:spacing w:lineRule="auto" w:line="240"/>
        <w:ind w:hanging="0"/>
        <w:jc w:val="center"/>
        <w:rPr>
          <w:rFonts w:eastAsia="Times New Roman" w:cs="Arial"/>
          <w:b/>
          <w:b/>
          <w:bCs/>
          <w:sz w:val="32"/>
          <w:szCs w:val="32"/>
          <w:lang w:eastAsia="zh-CN"/>
        </w:rPr>
      </w:pPr>
      <w:r>
        <w:rPr>
          <w:rFonts w:eastAsia="Times New Roman" w:cs="Arial"/>
          <w:b/>
          <w:bCs/>
          <w:sz w:val="32"/>
          <w:szCs w:val="32"/>
          <w:lang w:eastAsia="zh-CN"/>
        </w:rPr>
        <w:t>APENSO 12</w:t>
      </w:r>
    </w:p>
    <w:p>
      <w:pPr>
        <w:pStyle w:val="Normal"/>
        <w:suppressAutoHyphens w:val="true"/>
        <w:spacing w:lineRule="auto" w:line="240"/>
        <w:ind w:hanging="0"/>
        <w:jc w:val="center"/>
        <w:rPr>
          <w:rFonts w:eastAsia="Times New Roman" w:cs="Arial"/>
          <w:b/>
          <w:b/>
          <w:sz w:val="32"/>
          <w:szCs w:val="32"/>
          <w:lang w:eastAsia="zh-CN"/>
        </w:rPr>
      </w:pPr>
      <w:r>
        <w:rPr>
          <w:rFonts w:eastAsia="Times New Roman" w:cs="Arial"/>
          <w:b/>
          <w:sz w:val="32"/>
          <w:szCs w:val="32"/>
          <w:lang w:eastAsia="zh-CN"/>
        </w:rPr>
      </w:r>
    </w:p>
    <w:p>
      <w:pPr>
        <w:pStyle w:val="Normal"/>
        <w:suppressAutoHyphens w:val="true"/>
        <w:spacing w:lineRule="auto" w:line="240"/>
        <w:ind w:hanging="0"/>
        <w:jc w:val="center"/>
        <w:rPr>
          <w:rFonts w:eastAsia="Times New Roman" w:cs="Arial"/>
          <w:b/>
          <w:b/>
          <w:sz w:val="32"/>
          <w:szCs w:val="32"/>
          <w:lang w:eastAsia="zh-CN"/>
        </w:rPr>
      </w:pPr>
      <w:r>
        <w:rPr>
          <w:rFonts w:eastAsia="Times New Roman" w:cs="Arial"/>
          <w:b/>
          <w:sz w:val="32"/>
          <w:szCs w:val="32"/>
          <w:lang w:eastAsia="zh-CN"/>
        </w:rPr>
        <w:t>TERMO DE CESSÃO DOS DIREITOS PATRIMONIAIS</w:t>
      </w:r>
    </w:p>
    <w:p>
      <w:pPr>
        <w:pStyle w:val="Normal"/>
        <w:suppressAutoHyphens w:val="true"/>
        <w:spacing w:lineRule="auto" w:line="240"/>
        <w:ind w:hanging="0"/>
        <w:jc w:val="center"/>
        <w:rPr>
          <w:rFonts w:eastAsia="Times New Roman" w:cs="Arial"/>
          <w:b/>
          <w:b/>
          <w:sz w:val="22"/>
          <w:lang w:eastAsia="zh-CN"/>
        </w:rPr>
      </w:pPr>
      <w:r>
        <w:rPr>
          <w:rFonts w:eastAsia="Times New Roman" w:cs="Arial"/>
          <w:b/>
          <w:sz w:val="22"/>
          <w:lang w:eastAsia="zh-CN"/>
        </w:rPr>
      </w:r>
    </w:p>
    <w:p>
      <w:pPr>
        <w:pStyle w:val="Normal"/>
        <w:ind w:firstLine="708"/>
        <w:jc w:val="center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Normal"/>
        <w:ind w:firstLine="708"/>
        <w:jc w:val="center"/>
        <w:rPr>
          <w:rFonts w:cs="Arial"/>
          <w:sz w:val="22"/>
        </w:rPr>
      </w:pPr>
      <w:r>
        <w:rPr>
          <w:rFonts w:cs="Arial"/>
          <w:sz w:val="22"/>
        </w:rPr>
      </w:r>
      <w:bookmarkStart w:id="0" w:name="_GoBack"/>
      <w:bookmarkStart w:id="1" w:name="_GoBack"/>
      <w:bookmarkEnd w:id="1"/>
    </w:p>
    <w:p>
      <w:pPr>
        <w:pStyle w:val="Normal"/>
        <w:ind w:hanging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Por meio deste instrumento, cedo à Procuradoria-Geral de Justiça do Estado de Minas Gerais, segundo o disposto no art.93 da Lei 14.133/21, </w:t>
      </w:r>
      <w:r>
        <w:rPr>
          <w:rFonts w:cs="Arial"/>
          <w:i/>
          <w:iCs/>
          <w:sz w:val="22"/>
          <w:szCs w:val="22"/>
        </w:rPr>
        <w:t>in verbis</w:t>
      </w:r>
      <w:r>
        <w:rPr>
          <w:rFonts w:cs="Arial"/>
          <w:sz w:val="22"/>
          <w:szCs w:val="22"/>
        </w:rPr>
        <w:t>:</w:t>
      </w:r>
    </w:p>
    <w:p>
      <w:pPr>
        <w:pStyle w:val="Normal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Normal"/>
        <w:ind w:left="1134" w:right="284" w:hanging="0"/>
        <w:rPr>
          <w:rFonts w:ascii="Arial" w:hAnsi="Arial" w:eastAsia="Arial" w:cs="Arial"/>
          <w:spacing w:val="4"/>
          <w:sz w:val="20"/>
          <w:szCs w:val="20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caps w:val="false"/>
          <w:smallCaps w:val="false"/>
          <w:color w:val="000000" w:themeColor="text1" w:themeShade="ff" w:themeTint="ff"/>
          <w:sz w:val="20"/>
          <w:szCs w:val="20"/>
          <w:lang w:val="pt-BR"/>
        </w:rPr>
        <w:t>Art. 93. Nas contratações de projetos ou de serviços técnicos especializados, inclusive daqueles que contemplem o desenvolvimento de programas e aplicações de internet para computadores, máquinas, equipamentos e dispositivos de tratamento e de comunicação da informação (software) - e a respectiva documentação técnica associada -, o autor deverá ceder todos os direitos patrimoniais a eles relativos para a Administração Pública, hipótese em que poderão ser livremente utilizados e alterados por ela em outras ocasiões, sem necessidade de nova autorização de seu autor.</w:t>
      </w:r>
    </w:p>
    <w:p>
      <w:pPr>
        <w:pStyle w:val="Normal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  <w:t>Os Direitos Patrimoniais relativos aos serviços do objeto abaixo discriminado, que poderão ser utilizados, a seu critério, nos locais e quantidades que lhe for conveniente, não restando direitos de futuros pagamentos pelo uso repetido dos projetos contratados.</w:t>
      </w:r>
    </w:p>
    <w:p>
      <w:pPr>
        <w:pStyle w:val="Normal"/>
        <w:ind w:hanging="0"/>
        <w:rPr>
          <w:rFonts w:cs="Arial"/>
          <w:sz w:val="22"/>
        </w:rPr>
      </w:pPr>
      <w:r>
        <w:rPr>
          <w:rFonts w:cs="Arial"/>
          <w:sz w:val="22"/>
        </w:rPr>
      </w:r>
    </w:p>
    <w:p>
      <w:pPr>
        <w:pStyle w:val="Normal"/>
        <w:bidi w:val="0"/>
        <w:spacing w:lineRule="auto" w:line="276" w:beforeAutospacing="0" w:before="0" w:afterAutospacing="0" w:after="0"/>
        <w:ind w:left="0" w:right="0" w:hanging="0"/>
        <w:jc w:val="both"/>
        <w:rPr>
          <w:rFonts w:cs="Arial"/>
          <w:sz w:val="22"/>
          <w:szCs w:val="22"/>
          <w:lang w:val="pt-BR"/>
        </w:rPr>
      </w:pPr>
      <w:r>
        <w:rPr>
          <w:rFonts w:cs="Arial"/>
          <w:b/>
          <w:bCs/>
          <w:sz w:val="22"/>
          <w:szCs w:val="22"/>
        </w:rPr>
        <w:t>Objeto:</w:t>
      </w:r>
      <w:r>
        <w:rPr>
          <w:rFonts w:cs="Arial"/>
          <w:sz w:val="22"/>
          <w:szCs w:val="22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lang w:val="pt-BR"/>
        </w:rPr>
        <w:t>Contratação de empresa especializada para elaboração de projetos de sistema de climatização (ar-condicionado, ventilação mecânica e automação integrada) das três Torres que compõem o Edifício-Sede da Procuradoria-Geral de Justiça do Ministério Público do Estado de Minas Gerais, bem como para subsídio à fiscalização da execução de obra.</w:t>
      </w:r>
    </w:p>
    <w:p>
      <w:pPr>
        <w:pStyle w:val="Normal"/>
        <w:bidi w:val="0"/>
        <w:spacing w:lineRule="auto" w:line="276" w:beforeAutospacing="0" w:before="0" w:afterAutospacing="0" w:after="0"/>
        <w:ind w:left="0" w:right="0" w:hanging="0"/>
        <w:jc w:val="both"/>
        <w:rPr>
          <w:rFonts w:cs="Arial"/>
          <w:sz w:val="22"/>
          <w:szCs w:val="22"/>
          <w:lang w:val="pt-BR"/>
        </w:rPr>
      </w:pPr>
      <w:r>
        <w:rPr>
          <w:rFonts w:cs="Arial"/>
          <w:sz w:val="22"/>
          <w:szCs w:val="22"/>
          <w:lang w:val="pt-BR"/>
        </w:rPr>
      </w:r>
    </w:p>
    <w:p>
      <w:pPr>
        <w:pStyle w:val="Normal"/>
        <w:ind w:hanging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______________________________________________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Empresa: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CNPJ:</w:t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Nome representante legal: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______________________________________________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Nome: (repetir para a assinatura de cada um dos responsáveis técnicos)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CPF:</w:t>
      </w:r>
    </w:p>
    <w:p>
      <w:pPr>
        <w:pStyle w:val="Normal"/>
        <w:spacing w:lineRule="auto" w:line="276" w:before="0" w:after="0"/>
        <w:ind w:hanging="0"/>
        <w:jc w:val="left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CREA/CAU:</w:t>
      </w:r>
    </w:p>
    <w:p>
      <w:pPr>
        <w:pStyle w:val="Normal"/>
        <w:spacing w:lineRule="auto" w:line="276" w:before="0" w:after="0"/>
        <w:ind w:hanging="0"/>
        <w:jc w:val="center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4"/>
          <w:szCs w:val="24"/>
          <w:lang w:val="pt-BR"/>
        </w:rPr>
      </w:r>
    </w:p>
    <w:p>
      <w:pPr>
        <w:pStyle w:val="Normal"/>
        <w:spacing w:lineRule="auto" w:line="276" w:before="0" w:after="0"/>
        <w:ind w:firstLine="708"/>
        <w:jc w:val="both"/>
        <w:rPr>
          <w:rFonts w:ascii="Century Gothic" w:hAnsi="Century Gothic" w:eastAsia="Century Gothic" w:cs="Century Gothic"/>
          <w:b w:val="false"/>
          <w:b w:val="false"/>
          <w:bCs w:val="false"/>
          <w:i w:val="false"/>
          <w:i w:val="false"/>
          <w:iCs w:val="false"/>
          <w:sz w:val="20"/>
          <w:szCs w:val="20"/>
          <w:lang w:val="pt-BR"/>
        </w:rPr>
      </w:pPr>
      <w:r>
        <w:rPr>
          <w:rFonts w:eastAsia="Century Gothic" w:cs="Century Gothic" w:ascii="Century Gothic" w:hAnsi="Century Gothic"/>
          <w:b w:val="false"/>
          <w:bCs w:val="false"/>
          <w:i w:val="false"/>
          <w:iCs w:val="false"/>
          <w:sz w:val="20"/>
          <w:szCs w:val="20"/>
          <w:lang w:val="pt-BR"/>
        </w:rPr>
      </w:r>
    </w:p>
    <w:p>
      <w:pPr>
        <w:pStyle w:val="Normal"/>
        <w:spacing w:lineRule="auto" w:line="276" w:before="0" w:after="0"/>
        <w:ind w:hanging="0"/>
        <w:jc w:val="both"/>
        <w:rPr>
          <w:rFonts w:ascii="Arial" w:hAnsi="Arial" w:eastAsia="Arial" w:cs="Arial"/>
          <w:b w:val="false"/>
          <w:b w:val="false"/>
          <w:bCs w:val="false"/>
          <w:i w:val="false"/>
          <w:i w:val="false"/>
          <w:iCs w:val="false"/>
          <w:sz w:val="22"/>
          <w:szCs w:val="22"/>
          <w:lang w:val="pt-BR"/>
        </w:rPr>
      </w:pPr>
      <w:r>
        <w:rPr>
          <w:rFonts w:eastAsia="Arial" w:cs="Arial"/>
          <w:b w:val="false"/>
          <w:bCs w:val="false"/>
          <w:i w:val="false"/>
          <w:iCs w:val="false"/>
          <w:sz w:val="22"/>
          <w:szCs w:val="22"/>
          <w:lang w:val="pt-BR"/>
        </w:rPr>
        <w:t>Local e data</w:t>
      </w:r>
    </w:p>
    <w:p>
      <w:pPr>
        <w:pStyle w:val="Normal"/>
        <w:ind w:hanging="0"/>
        <w:rPr>
          <w:rFonts w:cs="Arial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auto"/>
    <w:pitch w:val="default"/>
  </w:font>
  <w:font w:name="Arial Narrow">
    <w:charset w:val="00"/>
    <w:family w:val="roman"/>
    <w:pitch w:val="variable"/>
  </w:font>
  <w:font w:name="Apto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</w:t>
    </w:r>
    <w:r>
      <w:rPr/>
      <w:t xml:space="preserve">/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Normal"/>
      <w:widowControl/>
      <w:pBdr>
        <w:bottom w:val="single" w:sz="8" w:space="1" w:color="000000"/>
      </w:pBdr>
      <w:tabs>
        <w:tab w:val="clear" w:pos="708"/>
        <w:tab w:val="center" w:pos="4419" w:leader="none"/>
        <w:tab w:val="right" w:pos="8838" w:leader="none"/>
      </w:tabs>
      <w:bidi w:val="0"/>
      <w:spacing w:lineRule="auto" w:line="360" w:before="0" w:after="0"/>
      <w:ind w:firstLine="425"/>
      <w:jc w:val="both"/>
      <w:rPr>
        <w:rFonts w:ascii="Times New Roman" w:hAnsi="Times New Roman" w:eastAsia="Times New Roman" w:cs="Times New Roman"/>
        <w:b w:val="false"/>
        <w:b w:val="false"/>
        <w:bCs w:val="false"/>
        <w:i w:val="false"/>
        <w:i w:val="false"/>
        <w:iCs w:val="false"/>
        <w:caps w:val="false"/>
        <w:smallCaps w:val="false"/>
        <w:color w:val="000000" w:themeColor="text1" w:themeShade="ff" w:themeTint="ff"/>
        <w:sz w:val="12"/>
        <w:szCs w:val="12"/>
        <w:lang w:val="pt-BR"/>
      </w:rPr>
    </w:pPr>
    <w:r>
      <w:rPr>
        <w:rFonts w:eastAsia="Times New Roman" w:cs="Times New Roman" w:ascii="Times New Roman" w:hAnsi="Times New Roman"/>
        <w:b w:val="false"/>
        <w:bCs w:val="false"/>
        <w:i w:val="false"/>
        <w:iCs w:val="false"/>
        <w:caps w:val="false"/>
        <w:smallCaps w:val="false"/>
        <w:color w:val="000000" w:themeColor="text1" w:themeShade="ff" w:themeTint="ff"/>
        <w:sz w:val="12"/>
        <w:szCs w:val="12"/>
        <w:lang w:val="pt-BR"/>
      </w:rPr>
    </w:r>
  </w:p>
  <w:p>
    <w:pPr>
      <w:pStyle w:val="Rodap"/>
      <w:widowControl/>
      <w:tabs>
        <w:tab w:val="center" w:pos="4252" w:leader="none"/>
        <w:tab w:val="center" w:pos="4419" w:leader="none"/>
        <w:tab w:val="right" w:pos="8504" w:leader="none"/>
        <w:tab w:val="right" w:pos="8838" w:leader="none"/>
      </w:tabs>
      <w:bidi w:val="0"/>
      <w:spacing w:lineRule="auto" w:line="259" w:beforeAutospacing="0" w:before="0" w:afterAutospacing="0" w:after="0"/>
      <w:ind w:left="0" w:right="0" w:hanging="0"/>
      <w:jc w:val="center"/>
      <w:rPr>
        <w:rFonts w:ascii="Arial Narrow" w:hAnsi="Arial Narrow" w:eastAsia="Arial Narrow" w:cs="Arial Narrow"/>
        <w:b w:val="false"/>
        <w:b w:val="false"/>
        <w:bCs w:val="false"/>
        <w:i w:val="false"/>
        <w:i w:val="false"/>
        <w:iCs w:val="false"/>
        <w:caps w:val="false"/>
        <w:smallCaps w:val="false"/>
        <w:color w:val="000000" w:themeColor="text1" w:themeShade="ff" w:themeTint="ff"/>
        <w:sz w:val="14"/>
        <w:szCs w:val="14"/>
        <w:lang w:val="pt-BR"/>
      </w:rPr>
    </w:pPr>
    <w:r>
      <w:rPr>
        <w:rFonts w:eastAsia="Arial Narrow" w:cs="Arial Narrow" w:ascii="Arial Narrow" w:hAnsi="Arial Narrow"/>
        <w:b/>
        <w:bCs/>
        <w:i w:val="false"/>
        <w:iCs w:val="false"/>
        <w:caps w:val="false"/>
        <w:smallCaps w:val="false"/>
        <w:color w:val="000000" w:themeColor="text1" w:themeShade="ff" w:themeTint="ff"/>
        <w:sz w:val="14"/>
        <w:szCs w:val="14"/>
        <w:lang w:val="pt-BR"/>
      </w:rPr>
      <w:t>SUPERINTENDÊNCIA DE ENGENHARIA E ARQUITETURA – DIRETORIA DE CONTROLE E DE MANUTENÇÃO DE IMÓVEIS</w:t>
    </w:r>
  </w:p>
  <w:p>
    <w:pPr>
      <w:pStyle w:val="Rodap"/>
      <w:widowControl/>
      <w:tabs>
        <w:tab w:val="center" w:pos="4252" w:leader="none"/>
        <w:tab w:val="center" w:pos="4419" w:leader="none"/>
        <w:tab w:val="right" w:pos="8504" w:leader="none"/>
        <w:tab w:val="right" w:pos="8838" w:leader="none"/>
      </w:tabs>
      <w:bidi w:val="0"/>
      <w:spacing w:lineRule="auto" w:line="240" w:before="0" w:after="0"/>
      <w:ind w:firstLine="425"/>
      <w:jc w:val="center"/>
      <w:rPr>
        <w:rFonts w:ascii="Arial Narrow" w:hAnsi="Arial Narrow" w:eastAsia="Arial Narrow" w:cs="Arial Narrow"/>
        <w:b w:val="false"/>
        <w:b w:val="false"/>
        <w:bCs w:val="false"/>
        <w:i w:val="false"/>
        <w:i w:val="false"/>
        <w:iCs w:val="false"/>
        <w:caps w:val="false"/>
        <w:smallCaps w:val="false"/>
        <w:color w:val="000000" w:themeColor="text1" w:themeShade="ff" w:themeTint="ff"/>
        <w:sz w:val="14"/>
        <w:szCs w:val="14"/>
        <w:lang w:val="pt-BR"/>
      </w:rPr>
    </w:pPr>
    <w:r>
      <w:rPr>
        <w:rFonts w:eastAsia="Arial Narrow" w:cs="Arial Narrow" w:ascii="Arial Narrow" w:hAnsi="Arial Narrow"/>
        <w:b w:val="false"/>
        <w:bCs w:val="false"/>
        <w:i w:val="false"/>
        <w:iCs w:val="false"/>
        <w:caps w:val="false"/>
        <w:smallCaps w:val="false"/>
        <w:color w:val="000000" w:themeColor="text1" w:themeShade="ff" w:themeTint="ff"/>
        <w:sz w:val="14"/>
        <w:szCs w:val="14"/>
        <w:lang w:val="pt-BR"/>
      </w:rPr>
      <w:t>Av Álvares Cabral, n° 1.740/5º andar – Santo Agostinho – Belo Horizonte - MG</w:t>
    </w:r>
  </w:p>
  <w:p>
    <w:pPr>
      <w:pStyle w:val="Rodap"/>
      <w:widowControl/>
      <w:pBdr>
        <w:bottom w:val="single" w:sz="8" w:space="1" w:color="000000"/>
      </w:pBdr>
      <w:tabs>
        <w:tab w:val="center" w:pos="4252" w:leader="none"/>
        <w:tab w:val="center" w:pos="4419" w:leader="none"/>
        <w:tab w:val="right" w:pos="8504" w:leader="none"/>
        <w:tab w:val="right" w:pos="8838" w:leader="none"/>
      </w:tabs>
      <w:bidi w:val="0"/>
      <w:spacing w:lineRule="auto" w:line="240" w:before="0" w:after="0"/>
      <w:ind w:firstLine="425"/>
      <w:jc w:val="center"/>
      <w:rPr>
        <w:rFonts w:ascii="Arial Narrow" w:hAnsi="Arial Narrow" w:eastAsia="Arial Narrow" w:cs="Arial Narrow"/>
        <w:b w:val="false"/>
        <w:b w:val="false"/>
        <w:bCs w:val="false"/>
        <w:i w:val="false"/>
        <w:i w:val="false"/>
        <w:iCs w:val="false"/>
        <w:caps w:val="false"/>
        <w:smallCaps w:val="false"/>
        <w:color w:val="000000" w:themeColor="text1" w:themeShade="ff" w:themeTint="ff"/>
        <w:sz w:val="14"/>
        <w:szCs w:val="14"/>
        <w:lang w:val="pt-BR"/>
      </w:rPr>
    </w:pPr>
    <w:r>
      <w:rPr>
        <w:rFonts w:eastAsia="Arial Narrow" w:cs="Arial Narrow" w:ascii="Arial Narrow" w:hAnsi="Arial Narrow"/>
        <w:b w:val="false"/>
        <w:bCs w:val="false"/>
        <w:i w:val="false"/>
        <w:iCs w:val="false"/>
        <w:caps w:val="false"/>
        <w:smallCaps w:val="false"/>
        <w:color w:val="000000" w:themeColor="text1" w:themeShade="ff" w:themeTint="ff"/>
        <w:sz w:val="14"/>
        <w:szCs w:val="14"/>
        <w:lang w:val="pt-BR"/>
      </w:rPr>
      <w:t>CEP 30170--001 – Telefax: (31)3330-8251</w:t>
    </w:r>
  </w:p>
  <w:p>
    <w:pPr>
      <w:pStyle w:val="Normal"/>
      <w:widowControl/>
      <w:tabs>
        <w:tab w:val="clear" w:pos="708"/>
        <w:tab w:val="center" w:pos="4680" w:leader="none"/>
        <w:tab w:val="right" w:pos="9360" w:leader="none"/>
      </w:tabs>
      <w:bidi w:val="0"/>
      <w:spacing w:lineRule="auto" w:line="240" w:before="0" w:after="0"/>
      <w:ind w:firstLine="425"/>
      <w:jc w:val="both"/>
      <w:rPr>
        <w:rFonts w:ascii="Aptos" w:hAnsi="Aptos" w:eastAsia="Aptos" w:cs="Aptos"/>
        <w:b w:val="false"/>
        <w:b w:val="false"/>
        <w:bCs w:val="false"/>
        <w:i w:val="false"/>
        <w:i w:val="false"/>
        <w:iCs w:val="false"/>
        <w:caps w:val="false"/>
        <w:smallCaps w:val="false"/>
        <w:color w:val="000000" w:themeColor="text1" w:themeShade="ff" w:themeTint="ff"/>
        <w:sz w:val="24"/>
        <w:szCs w:val="24"/>
        <w:lang w:val="pt-BR"/>
      </w:rPr>
    </w:pPr>
    <w:r>
      <w:rPr>
        <w:rFonts w:eastAsia="Aptos" w:cs="Aptos" w:ascii="Aptos" w:hAnsi="Aptos"/>
        <w:b w:val="false"/>
        <w:bCs w:val="false"/>
        <w:i w:val="false"/>
        <w:iCs w:val="false"/>
        <w:caps w:val="false"/>
        <w:smallCaps w:val="false"/>
        <w:color w:val="000000" w:themeColor="text1" w:themeShade="ff" w:themeTint="ff"/>
        <w:sz w:val="24"/>
        <w:szCs w:val="24"/>
        <w:lang w:val="pt-BR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hanging="0"/>
      <w:jc w:val="center"/>
      <w:rPr/>
    </w:pPr>
    <w:r>
      <w:rPr/>
      <w:t>Em papel timbrado da empresa</w:t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014f"/>
    <w:pPr>
      <w:widowControl/>
      <w:suppressAutoHyphens w:val="true"/>
      <w:bidi w:val="0"/>
      <w:spacing w:lineRule="auto" w:line="276" w:before="0" w:after="0"/>
      <w:ind w:firstLine="709"/>
      <w:jc w:val="both"/>
    </w:pPr>
    <w:rPr>
      <w:rFonts w:ascii="Arial" w:hAnsi="Arial" w:eastAsia="Calibri" w:cs="" w:cstheme="minorBidi" w:eastAsiaTheme="minorHAnsi"/>
      <w:color w:val="auto"/>
      <w:kern w:val="0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687aee"/>
    <w:rPr>
      <w:rFonts w:ascii="Arial" w:hAnsi="Arial"/>
      <w:sz w:val="24"/>
    </w:rPr>
  </w:style>
  <w:style w:type="character" w:styleId="RodapChar" w:customStyle="1">
    <w:name w:val="Rodapé Char"/>
    <w:basedOn w:val="DefaultParagraphFont"/>
    <w:link w:val="Rodap"/>
    <w:uiPriority w:val="99"/>
    <w:qFormat/>
    <w:rsid w:val="00687aee"/>
    <w:rPr>
      <w:rFonts w:ascii="Arial" w:hAnsi="Arial"/>
      <w:sz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687aee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Rodap">
    <w:name w:val="Footer"/>
    <w:basedOn w:val="Normal"/>
    <w:link w:val="RodapChar"/>
    <w:uiPriority w:val="99"/>
    <w:unhideWhenUsed/>
    <w:rsid w:val="00687aee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7A61A5FD32C46864929833F79B400" ma:contentTypeVersion="6" ma:contentTypeDescription="Crie um novo documento." ma:contentTypeScope="" ma:versionID="3cd1488320c9fa439d71e9608471ac76">
  <xsd:schema xmlns:xsd="http://www.w3.org/2001/XMLSchema" xmlns:xs="http://www.w3.org/2001/XMLSchema" xmlns:p="http://schemas.microsoft.com/office/2006/metadata/properties" xmlns:ns2="976e77db-562f-4c88-af1a-5ca557ca3de3" xmlns:ns3="ddce9f57-4e41-466a-8f1b-f59f3e8e6a8a" targetNamespace="http://schemas.microsoft.com/office/2006/metadata/properties" ma:root="true" ma:fieldsID="be8010f0cafc4f54e04438fc04e54382" ns2:_="" ns3:_="">
    <xsd:import namespace="976e77db-562f-4c88-af1a-5ca557ca3de3"/>
    <xsd:import namespace="ddce9f57-4e41-466a-8f1b-f59f3e8e6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e77db-562f-4c88-af1a-5ca557ca3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e9f57-4e41-466a-8f1b-f59f3e8e6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AB9C6-7DF3-40AC-A19A-4650F70C6477}"/>
</file>

<file path=customXml/itemProps2.xml><?xml version="1.0" encoding="utf-8"?>
<ds:datastoreItem xmlns:ds="http://schemas.openxmlformats.org/officeDocument/2006/customXml" ds:itemID="{8004068E-22A2-4314-8F09-14DBCE356E2E}"/>
</file>

<file path=customXml/itemProps3.xml><?xml version="1.0" encoding="utf-8"?>
<ds:datastoreItem xmlns:ds="http://schemas.openxmlformats.org/officeDocument/2006/customXml" ds:itemID="{61D8E08F-38EB-419F-B176-64E13ACAE3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LibreOffice/7.1.6.2$Windows_X86_64 LibreOffice_project/0e133318fcee89abacd6a7d077e292f1145735c3</Application>
  <AppVersion>15.0000</AppVersion>
  <Pages>1</Pages>
  <Words>260</Words>
  <Characters>1599</Characters>
  <CharactersWithSpaces>1842</CharactersWithSpaces>
  <Paragraphs>20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2021-08-18T17:17:00Z</dcterms:created>
  <dc:creator>Luiz_Roberto_Pereira_Moreira</dc:creator>
  <dc:description/>
  <dc:language>pt-BR</dc:language>
  <cp:lastModifiedBy/>
  <cp:lastPrinted>2012-09-25T14:55:00Z</cp:lastPrinted>
  <dcterms:modified xsi:type="dcterms:W3CDTF">2025-05-16T10:56:42Z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0x0101007C37A61A5FD32C46864929833F79B400</vt:lpwstr>
  </property>
  <property fmtid="{D5CDD505-2E9C-101B-9397-08002B2CF9AE}" pid="3" name="MediaServiceImageTags">
    <vt:lpwstr/>
  </property>
</Properties>
</file>